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FB664" w14:textId="72A10A8C" w:rsidR="0027729D" w:rsidRPr="00C5120F" w:rsidRDefault="00EE062F" w:rsidP="00EE062F">
      <w:pPr>
        <w:jc w:val="left"/>
        <w:rPr>
          <w:rFonts w:asciiTheme="majorHAnsi" w:hAnsiTheme="majorHAnsi" w:cstheme="majorHAnsi"/>
          <w:b/>
          <w:bCs/>
          <w:sz w:val="22"/>
          <w:lang w:val="en-GB"/>
        </w:rPr>
      </w:pPr>
      <w:r w:rsidRPr="00C5120F">
        <w:rPr>
          <w:rFonts w:asciiTheme="majorHAnsi" w:hAnsiTheme="majorHAnsi" w:cstheme="majorHAnsi"/>
          <w:b/>
          <w:bCs/>
          <w:sz w:val="22"/>
          <w:lang w:val="en-GB"/>
        </w:rPr>
        <w:t xml:space="preserve">Supplementary </w:t>
      </w:r>
      <w:r w:rsidR="00C66D67" w:rsidRPr="00C5120F">
        <w:rPr>
          <w:rFonts w:asciiTheme="majorHAnsi" w:hAnsiTheme="majorHAnsi" w:cstheme="majorHAnsi"/>
          <w:b/>
          <w:bCs/>
          <w:sz w:val="22"/>
          <w:lang w:val="en-GB"/>
        </w:rPr>
        <w:t>Material</w:t>
      </w:r>
      <w:r w:rsidRPr="00C5120F">
        <w:rPr>
          <w:rFonts w:asciiTheme="majorHAnsi" w:hAnsiTheme="majorHAnsi" w:cstheme="majorHAnsi"/>
          <w:b/>
          <w:bCs/>
          <w:sz w:val="22"/>
          <w:lang w:val="en-GB"/>
        </w:rPr>
        <w:t xml:space="preserve"> 1</w:t>
      </w:r>
      <w:r w:rsidR="00B71E20" w:rsidRPr="00C5120F">
        <w:rPr>
          <w:rFonts w:asciiTheme="majorHAnsi" w:hAnsiTheme="majorHAnsi" w:cstheme="majorHAnsi"/>
          <w:sz w:val="22"/>
          <w:lang w:val="en-GB"/>
        </w:rPr>
        <w:t>.</w:t>
      </w:r>
      <w:r w:rsidRPr="00C5120F">
        <w:rPr>
          <w:rFonts w:asciiTheme="majorHAnsi" w:hAnsiTheme="majorHAnsi" w:cstheme="majorHAnsi"/>
          <w:sz w:val="22"/>
          <w:lang w:val="en-GB"/>
        </w:rPr>
        <w:t xml:space="preserve"> </w:t>
      </w:r>
      <w:r w:rsidRPr="00C5120F">
        <w:rPr>
          <w:rFonts w:asciiTheme="majorHAnsi" w:hAnsiTheme="majorHAnsi" w:cstheme="majorHAnsi"/>
          <w:b/>
          <w:bCs/>
          <w:sz w:val="22"/>
          <w:lang w:val="en-GB"/>
        </w:rPr>
        <w:t>Core Components of the Locally Developed Perioperative Diabetes Optimisation Pathway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22"/>
        <w:gridCol w:w="6504"/>
      </w:tblGrid>
      <w:tr w:rsidR="00E827D3" w:rsidRPr="00C5120F" w14:paraId="4C1A045F" w14:textId="77777777">
        <w:tc>
          <w:tcPr>
            <w:tcW w:w="26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3D8E1ED7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b/>
                <w:bCs/>
                <w:sz w:val="22"/>
                <w:lang w:val="en-GB"/>
              </w:rPr>
              <w:t>Stage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  <w:hideMark/>
          </w:tcPr>
          <w:p w14:paraId="1041EC7C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b/>
                <w:bCs/>
                <w:sz w:val="22"/>
                <w:lang w:val="en-GB"/>
              </w:rPr>
              <w:t>Core process</w:t>
            </w:r>
          </w:p>
        </w:tc>
      </w:tr>
      <w:tr w:rsidR="00E827D3" w:rsidRPr="00C5120F" w14:paraId="221161D0" w14:textId="7777777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14:paraId="1D269A9D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sz w:val="22"/>
                <w:lang w:val="en-GB"/>
              </w:rPr>
              <w:t>Identification and referral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14:paraId="6D06344D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sz w:val="22"/>
                <w:lang w:val="en-GB"/>
              </w:rPr>
              <w:t>HbA1c measured during preparation for elective surgery; referral to the diabetes team when HbA1c was &gt;69 mmol/mol (&gt;8.5%).</w:t>
            </w:r>
          </w:p>
        </w:tc>
      </w:tr>
      <w:tr w:rsidR="00E827D3" w:rsidRPr="00C5120F" w14:paraId="460BACCE" w14:textId="7777777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14:paraId="0FE23B83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sz w:val="22"/>
                <w:lang w:val="en-GB"/>
              </w:rPr>
              <w:t>Initial specialist assessment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14:paraId="7511C6FC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sz w:val="22"/>
                <w:lang w:val="en-GB"/>
              </w:rPr>
              <w:t>Review of diabetes type, current treatment, glucose profile, hypoglycaemia risk, comorbidity, planned operation and anticipated surgical timeline.</w:t>
            </w:r>
          </w:p>
        </w:tc>
      </w:tr>
      <w:tr w:rsidR="00E827D3" w:rsidRPr="00C5120F" w14:paraId="6D1F70DB" w14:textId="7777777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14:paraId="48F12D08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sz w:val="22"/>
                <w:lang w:val="en-GB"/>
              </w:rPr>
              <w:t>Individualised optimisation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14:paraId="67596FB5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sz w:val="22"/>
                <w:lang w:val="en-GB"/>
              </w:rPr>
              <w:t>Medication and insulin adjustment by the attending clinician. In insulin-naïve patients requiring substantial treatment intensification, once-daily basal insulin was the predominant escalation strategy. Basal insulin was usually initiated at 10 units once daily and titrated during follow-up according to home capillary glucose readings, aiming for fasting and pre-meal glucose values of approximately 5–10 mmol/L (90–180 mg/dL) where safely achievable. No single mandatory titration algorithm was used.</w:t>
            </w:r>
          </w:p>
        </w:tc>
      </w:tr>
      <w:tr w:rsidR="00E827D3" w:rsidRPr="00C5120F" w14:paraId="6935DC72" w14:textId="7777777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14:paraId="6A39764B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sz w:val="22"/>
                <w:lang w:val="en-GB"/>
              </w:rPr>
              <w:t>Follow-up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14:paraId="397C1B73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sz w:val="22"/>
                <w:lang w:val="en-GB"/>
              </w:rPr>
              <w:t>Usually weekly diabetes specialist nurse contact, face-to-face or remote, with diabetologist escalation when required.</w:t>
            </w:r>
          </w:p>
        </w:tc>
      </w:tr>
      <w:tr w:rsidR="00E827D3" w:rsidRPr="00C5120F" w14:paraId="6D91FC95" w14:textId="7777777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14:paraId="5257012A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sz w:val="22"/>
                <w:lang w:val="en-GB"/>
              </w:rPr>
              <w:t>Education and safety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14:paraId="6ED49CD8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sz w:val="22"/>
                <w:lang w:val="en-GB"/>
              </w:rPr>
              <w:t>Glucose monitoring, hypoglycaemia management, adherence, sick-day rules and procedure-specific medication instructions including perioperative advice for metformin, dipeptidyl peptidase-4 inhibitors, sulfonylureas, sodium-glucose cotransporter-2 inhibitors and glucagon-like peptide-1 receptor agonists.</w:t>
            </w:r>
          </w:p>
        </w:tc>
      </w:tr>
      <w:tr w:rsidR="00E827D3" w:rsidRPr="00C5120F" w14:paraId="70603499" w14:textId="77777777"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14:paraId="1493D28C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sz w:val="22"/>
                <w:lang w:val="en-GB"/>
              </w:rPr>
              <w:t>Reassessment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14:paraId="0601066D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sz w:val="22"/>
                <w:lang w:val="en-GB"/>
              </w:rPr>
              <w:t>Repeat HbA1c generally after approximately 4 weeks, with further review according to clinical response and surgical timing. Early repeat HbA1c was interpreted as a directional marker of improvement rather than a steady-state measure.</w:t>
            </w:r>
          </w:p>
        </w:tc>
      </w:tr>
      <w:tr w:rsidR="00E827D3" w:rsidRPr="00C5120F" w14:paraId="0EEAB027" w14:textId="77777777">
        <w:tc>
          <w:tcPr>
            <w:tcW w:w="26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14:paraId="35CEC9D8" w14:textId="77777777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sz w:val="22"/>
                <w:lang w:val="en-GB"/>
              </w:rPr>
              <w:t>Communication and disposition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45" w:type="dxa"/>
              <w:left w:w="60" w:type="dxa"/>
              <w:bottom w:w="45" w:type="dxa"/>
              <w:right w:w="60" w:type="dxa"/>
            </w:tcMar>
            <w:hideMark/>
          </w:tcPr>
          <w:p w14:paraId="59222B79" w14:textId="24819BF6" w:rsidR="00E827D3" w:rsidRPr="00C5120F" w:rsidRDefault="00E827D3" w:rsidP="00E827D3">
            <w:pPr>
              <w:jc w:val="left"/>
              <w:rPr>
                <w:rFonts w:asciiTheme="majorHAnsi" w:hAnsiTheme="majorHAnsi" w:cstheme="majorHAnsi"/>
                <w:sz w:val="22"/>
                <w:lang w:val="en-GB"/>
              </w:rPr>
            </w:pPr>
            <w:r w:rsidRPr="00C5120F">
              <w:rPr>
                <w:rFonts w:asciiTheme="majorHAnsi" w:hAnsiTheme="majorHAnsi" w:cstheme="majorHAnsi"/>
                <w:sz w:val="22"/>
                <w:lang w:val="en-GB"/>
              </w:rPr>
              <w:t>Outcome and perioperative recommendations communicated to surgical and anaesthetic teams; return to the operative pathway when sufficiently optimised or for shared decision-making when the target was not achieved. Non-achievement of the HbA1c target did not automatically preclude surgery and required consideration of glycaemic improvement, surgical urgency, comorbidity and the risks of delay.</w:t>
            </w:r>
          </w:p>
        </w:tc>
      </w:tr>
    </w:tbl>
    <w:p w14:paraId="3DD1331E" w14:textId="77777777" w:rsidR="00E827D3" w:rsidRPr="00C5120F" w:rsidRDefault="00E827D3" w:rsidP="00EE062F">
      <w:pPr>
        <w:jc w:val="left"/>
        <w:rPr>
          <w:rFonts w:asciiTheme="majorHAnsi" w:hAnsiTheme="majorHAnsi" w:cstheme="majorHAnsi"/>
          <w:sz w:val="22"/>
          <w:lang w:val="en-GB"/>
        </w:rPr>
      </w:pPr>
    </w:p>
    <w:p w14:paraId="65F24611" w14:textId="77777777" w:rsidR="00C73BB6" w:rsidRPr="00C5120F" w:rsidRDefault="00C73BB6" w:rsidP="00EE062F">
      <w:pPr>
        <w:rPr>
          <w:rFonts w:ascii="Calibri" w:hAnsi="Calibri" w:cs="Calibri"/>
          <w:sz w:val="22"/>
          <w:szCs w:val="24"/>
        </w:rPr>
      </w:pPr>
      <w:r w:rsidRPr="00C5120F">
        <w:rPr>
          <w:rFonts w:ascii="Calibri" w:hAnsi="Calibri" w:cs="Calibri"/>
          <w:sz w:val="22"/>
          <w:szCs w:val="24"/>
        </w:rPr>
        <w:t xml:space="preserve">HbA1c was generally repeated after approximately 4 weeks, although timing varied according to clinical response and the anticipated date of surgery. Because HbA1c reflects glycaemia over the preceding 2–3 months, early repeat testing was used as a directional marker of improvement. </w:t>
      </w:r>
      <w:r w:rsidRPr="00C5120F">
        <w:rPr>
          <w:rFonts w:ascii="Calibri" w:hAnsi="Calibri" w:cs="Calibri"/>
          <w:sz w:val="22"/>
          <w:szCs w:val="24"/>
        </w:rPr>
        <w:lastRenderedPageBreak/>
        <w:t>Treatment decisions were individualised, and no single mandatory insulin-titration algorithm was used.</w:t>
      </w:r>
    </w:p>
    <w:p w14:paraId="368F9ABF" w14:textId="7DCEE184" w:rsidR="00EE062F" w:rsidRPr="00C5120F" w:rsidRDefault="00EE062F" w:rsidP="00EE062F">
      <w:pPr>
        <w:rPr>
          <w:rFonts w:ascii="Calibri" w:hAnsi="Calibri" w:cs="Calibri"/>
          <w:sz w:val="22"/>
          <w:szCs w:val="24"/>
        </w:rPr>
      </w:pPr>
      <w:r w:rsidRPr="00C5120F">
        <w:rPr>
          <w:rFonts w:ascii="Calibri" w:hAnsi="Calibri" w:cs="Calibri"/>
          <w:sz w:val="22"/>
          <w:szCs w:val="24"/>
          <w:lang w:val="en-GB"/>
        </w:rPr>
        <w:t xml:space="preserve">Abbreviation: </w:t>
      </w:r>
      <w:r w:rsidR="00C73BB6" w:rsidRPr="00C5120F">
        <w:rPr>
          <w:rFonts w:ascii="Calibri" w:hAnsi="Calibri" w:cs="Calibri"/>
          <w:sz w:val="22"/>
          <w:szCs w:val="24"/>
        </w:rPr>
        <w:t>HbA1c, glycated haemoglobin.</w:t>
      </w:r>
    </w:p>
    <w:p w14:paraId="734E2296" w14:textId="77777777" w:rsidR="0037077A" w:rsidRPr="00C5120F" w:rsidRDefault="0037077A" w:rsidP="0037077A">
      <w:pPr>
        <w:rPr>
          <w:rFonts w:ascii="Calibri" w:hAnsi="Calibri" w:cs="Calibri"/>
          <w:sz w:val="22"/>
        </w:rPr>
      </w:pPr>
    </w:p>
    <w:p w14:paraId="0611CFA1" w14:textId="77777777" w:rsidR="00093233" w:rsidRPr="0037077A" w:rsidRDefault="007001EB" w:rsidP="00093233">
      <w:pPr>
        <w:rPr>
          <w:rFonts w:ascii="Calibri" w:hAnsi="Calibri" w:cs="Calibri"/>
          <w:sz w:val="22"/>
        </w:rPr>
      </w:pPr>
      <w:r w:rsidRPr="00C5120F">
        <w:rPr>
          <w:rFonts w:ascii="Calibri" w:hAnsi="Calibri" w:cs="Calibri"/>
          <w:b/>
          <w:sz w:val="22"/>
        </w:rPr>
        <w:t xml:space="preserve">Supplementary Table </w:t>
      </w:r>
      <w:r w:rsidR="0037077A" w:rsidRPr="00C5120F">
        <w:rPr>
          <w:rFonts w:ascii="Calibri" w:hAnsi="Calibri" w:cs="Calibri"/>
          <w:b/>
          <w:sz w:val="22"/>
        </w:rPr>
        <w:t xml:space="preserve">1. </w:t>
      </w:r>
      <w:r w:rsidR="00093233" w:rsidRPr="0037077A">
        <w:rPr>
          <w:rFonts w:ascii="Calibri" w:hAnsi="Calibri" w:cs="Calibri"/>
          <w:b/>
          <w:sz w:val="22"/>
        </w:rPr>
        <w:t>Multivariable logistic regression for achievement of HbA1c ≤69 mmol/mol: sensitivity analysis including diabetes type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22"/>
        <w:gridCol w:w="822"/>
        <w:gridCol w:w="879"/>
        <w:gridCol w:w="1956"/>
        <w:gridCol w:w="992"/>
      </w:tblGrid>
      <w:tr w:rsidR="00093233" w14:paraId="142DFE3C" w14:textId="77777777" w:rsidTr="0020638D">
        <w:trPr>
          <w:tblHeader/>
          <w:jc w:val="center"/>
        </w:trPr>
        <w:tc>
          <w:tcPr>
            <w:tcW w:w="2409" w:type="dxa"/>
            <w:tcBorders>
              <w:top w:val="single" w:sz="8" w:space="0" w:color="000000"/>
              <w:bottom w:val="single" w:sz="10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745701A4" w14:textId="77777777" w:rsidR="00093233" w:rsidRDefault="00093233" w:rsidP="0020638D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9"/>
              </w:rPr>
              <w:t>Variable</w:t>
            </w:r>
          </w:p>
        </w:tc>
        <w:tc>
          <w:tcPr>
            <w:tcW w:w="822" w:type="dxa"/>
            <w:tcBorders>
              <w:top w:val="single" w:sz="8" w:space="0" w:color="000000"/>
              <w:bottom w:val="single" w:sz="10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48E6EC96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9"/>
              </w:rPr>
              <w:t>β</w:t>
            </w:r>
          </w:p>
        </w:tc>
        <w:tc>
          <w:tcPr>
            <w:tcW w:w="822" w:type="dxa"/>
            <w:tcBorders>
              <w:top w:val="single" w:sz="8" w:space="0" w:color="000000"/>
              <w:bottom w:val="single" w:sz="10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5E0F01A5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9"/>
              </w:rPr>
              <w:t>SE</w:t>
            </w:r>
          </w:p>
        </w:tc>
        <w:tc>
          <w:tcPr>
            <w:tcW w:w="879" w:type="dxa"/>
            <w:tcBorders>
              <w:top w:val="single" w:sz="8" w:space="0" w:color="000000"/>
              <w:bottom w:val="single" w:sz="10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00BEF7E7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9"/>
              </w:rPr>
              <w:t>OR</w:t>
            </w:r>
          </w:p>
        </w:tc>
        <w:tc>
          <w:tcPr>
            <w:tcW w:w="1956" w:type="dxa"/>
            <w:tcBorders>
              <w:top w:val="single" w:sz="8" w:space="0" w:color="000000"/>
              <w:bottom w:val="single" w:sz="10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39390E0B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9"/>
              </w:rPr>
              <w:t>95% CI for OR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10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5CDC8D85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9"/>
              </w:rPr>
              <w:t>p-value</w:t>
            </w:r>
          </w:p>
        </w:tc>
      </w:tr>
      <w:tr w:rsidR="00093233" w14:paraId="3240FFC8" w14:textId="77777777" w:rsidTr="0020638D">
        <w:trPr>
          <w:jc w:val="center"/>
        </w:trPr>
        <w:tc>
          <w:tcPr>
            <w:tcW w:w="240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437F123F" w14:textId="77777777" w:rsidR="00093233" w:rsidRDefault="00093233" w:rsidP="0020638D">
            <w:pPr>
              <w:spacing w:after="0" w:line="240" w:lineRule="auto"/>
              <w:jc w:val="left"/>
            </w:pPr>
            <w:r>
              <w:rPr>
                <w:rFonts w:ascii="Arial" w:hAnsi="Arial"/>
                <w:sz w:val="19"/>
              </w:rPr>
              <w:t>Baseline HbA1c, per mmol/mol</w:t>
            </w:r>
          </w:p>
        </w:tc>
        <w:tc>
          <w:tcPr>
            <w:tcW w:w="82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7CEBDB8A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−0.036</w:t>
            </w:r>
          </w:p>
        </w:tc>
        <w:tc>
          <w:tcPr>
            <w:tcW w:w="82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7F524978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0.013</w:t>
            </w:r>
          </w:p>
        </w:tc>
        <w:tc>
          <w:tcPr>
            <w:tcW w:w="87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12D9890B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0.965</w:t>
            </w:r>
          </w:p>
        </w:tc>
        <w:tc>
          <w:tcPr>
            <w:tcW w:w="1956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3E6B15A1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0.941–0.990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2D29A8E4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0.007</w:t>
            </w:r>
          </w:p>
        </w:tc>
      </w:tr>
      <w:tr w:rsidR="00093233" w14:paraId="50E70A2C" w14:textId="77777777" w:rsidTr="0020638D">
        <w:trPr>
          <w:jc w:val="center"/>
        </w:trPr>
        <w:tc>
          <w:tcPr>
            <w:tcW w:w="240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02A1640B" w14:textId="77777777" w:rsidR="00093233" w:rsidRDefault="00093233" w:rsidP="0020638D">
            <w:pPr>
              <w:spacing w:after="0" w:line="240" w:lineRule="auto"/>
              <w:jc w:val="left"/>
            </w:pPr>
            <w:r>
              <w:rPr>
                <w:rFonts w:ascii="Arial" w:hAnsi="Arial"/>
                <w:sz w:val="19"/>
              </w:rPr>
              <w:t>Diabetes-team appointments, per appointment</w:t>
            </w:r>
          </w:p>
        </w:tc>
        <w:tc>
          <w:tcPr>
            <w:tcW w:w="82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048798F2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0.059</w:t>
            </w:r>
          </w:p>
        </w:tc>
        <w:tc>
          <w:tcPr>
            <w:tcW w:w="82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61033011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0.034</w:t>
            </w:r>
          </w:p>
        </w:tc>
        <w:tc>
          <w:tcPr>
            <w:tcW w:w="87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5257D6D4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1.061</w:t>
            </w:r>
          </w:p>
        </w:tc>
        <w:tc>
          <w:tcPr>
            <w:tcW w:w="1956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0ED96BB2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0.992–1.134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460535A0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0.083</w:t>
            </w:r>
          </w:p>
        </w:tc>
      </w:tr>
      <w:tr w:rsidR="00093233" w14:paraId="0C5243A3" w14:textId="77777777" w:rsidTr="0020638D">
        <w:trPr>
          <w:jc w:val="center"/>
        </w:trPr>
        <w:tc>
          <w:tcPr>
            <w:tcW w:w="240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4A7E2C06" w14:textId="77777777" w:rsidR="00093233" w:rsidRDefault="00093233" w:rsidP="0020638D">
            <w:pPr>
              <w:spacing w:after="0" w:line="240" w:lineRule="auto"/>
              <w:jc w:val="left"/>
            </w:pPr>
            <w:r>
              <w:rPr>
                <w:rFonts w:ascii="Arial" w:hAnsi="Arial"/>
                <w:sz w:val="19"/>
              </w:rPr>
              <w:t>Age, per year</w:t>
            </w:r>
          </w:p>
        </w:tc>
        <w:tc>
          <w:tcPr>
            <w:tcW w:w="82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656BCD8D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−0.014</w:t>
            </w:r>
          </w:p>
        </w:tc>
        <w:tc>
          <w:tcPr>
            <w:tcW w:w="82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73B97F39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0.015</w:t>
            </w:r>
          </w:p>
        </w:tc>
        <w:tc>
          <w:tcPr>
            <w:tcW w:w="87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2E52A837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0.986</w:t>
            </w:r>
          </w:p>
        </w:tc>
        <w:tc>
          <w:tcPr>
            <w:tcW w:w="1956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340C1F39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0.957–1.016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50168DFF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0.348</w:t>
            </w:r>
          </w:p>
        </w:tc>
      </w:tr>
      <w:tr w:rsidR="00093233" w14:paraId="29962A6A" w14:textId="77777777" w:rsidTr="0020638D">
        <w:trPr>
          <w:jc w:val="center"/>
        </w:trPr>
        <w:tc>
          <w:tcPr>
            <w:tcW w:w="240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4AF96914" w14:textId="77777777" w:rsidR="00093233" w:rsidRDefault="00093233" w:rsidP="0020638D">
            <w:pPr>
              <w:spacing w:after="0" w:line="240" w:lineRule="auto"/>
              <w:jc w:val="left"/>
            </w:pPr>
            <w:r>
              <w:rPr>
                <w:rFonts w:ascii="Arial" w:hAnsi="Arial"/>
                <w:sz w:val="19"/>
              </w:rPr>
              <w:t>Male sex</w:t>
            </w:r>
          </w:p>
        </w:tc>
        <w:tc>
          <w:tcPr>
            <w:tcW w:w="82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5D410C31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−0.303</w:t>
            </w:r>
          </w:p>
        </w:tc>
        <w:tc>
          <w:tcPr>
            <w:tcW w:w="82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237D8B2B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0.352</w:t>
            </w:r>
          </w:p>
        </w:tc>
        <w:tc>
          <w:tcPr>
            <w:tcW w:w="87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2250C285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0.739</w:t>
            </w:r>
          </w:p>
        </w:tc>
        <w:tc>
          <w:tcPr>
            <w:tcW w:w="1956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0F433040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0.371–1.474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1F9EC91D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0.391</w:t>
            </w:r>
          </w:p>
        </w:tc>
      </w:tr>
      <w:tr w:rsidR="00093233" w14:paraId="6626C8A7" w14:textId="77777777" w:rsidTr="0020638D">
        <w:trPr>
          <w:jc w:val="center"/>
        </w:trPr>
        <w:tc>
          <w:tcPr>
            <w:tcW w:w="240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00E5E5ED" w14:textId="77777777" w:rsidR="00093233" w:rsidRDefault="00093233" w:rsidP="0020638D">
            <w:pPr>
              <w:spacing w:after="0" w:line="240" w:lineRule="auto"/>
              <w:jc w:val="left"/>
            </w:pPr>
            <w:r>
              <w:rPr>
                <w:rFonts w:ascii="Arial" w:hAnsi="Arial"/>
                <w:sz w:val="19"/>
              </w:rPr>
              <w:t>Insulin initiation during pathway</w:t>
            </w:r>
          </w:p>
        </w:tc>
        <w:tc>
          <w:tcPr>
            <w:tcW w:w="82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0EB2582B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0.222</w:t>
            </w:r>
          </w:p>
        </w:tc>
        <w:tc>
          <w:tcPr>
            <w:tcW w:w="82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6AED1D65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0.410</w:t>
            </w:r>
          </w:p>
        </w:tc>
        <w:tc>
          <w:tcPr>
            <w:tcW w:w="87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258DA4BD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1.249</w:t>
            </w:r>
          </w:p>
        </w:tc>
        <w:tc>
          <w:tcPr>
            <w:tcW w:w="1956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45F5BE40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0.560–2.789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7F90840C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0.587</w:t>
            </w:r>
          </w:p>
        </w:tc>
      </w:tr>
      <w:tr w:rsidR="00093233" w14:paraId="3B7DCBCE" w14:textId="77777777" w:rsidTr="0020638D">
        <w:trPr>
          <w:jc w:val="center"/>
        </w:trPr>
        <w:tc>
          <w:tcPr>
            <w:tcW w:w="2409" w:type="dxa"/>
            <w:tcBorders>
              <w:bottom w:val="single" w:sz="8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78EC9817" w14:textId="77777777" w:rsidR="00093233" w:rsidRDefault="00093233" w:rsidP="0020638D">
            <w:pPr>
              <w:spacing w:after="0" w:line="240" w:lineRule="auto"/>
              <w:jc w:val="left"/>
            </w:pPr>
            <w:r>
              <w:rPr>
                <w:rFonts w:ascii="Arial" w:hAnsi="Arial"/>
                <w:sz w:val="19"/>
              </w:rPr>
              <w:t>Type 2 diabetes</w:t>
            </w:r>
          </w:p>
        </w:tc>
        <w:tc>
          <w:tcPr>
            <w:tcW w:w="822" w:type="dxa"/>
            <w:tcBorders>
              <w:bottom w:val="single" w:sz="8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27939A00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0.334</w:t>
            </w:r>
          </w:p>
        </w:tc>
        <w:tc>
          <w:tcPr>
            <w:tcW w:w="822" w:type="dxa"/>
            <w:tcBorders>
              <w:bottom w:val="single" w:sz="8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6487BE5A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0.595</w:t>
            </w:r>
          </w:p>
        </w:tc>
        <w:tc>
          <w:tcPr>
            <w:tcW w:w="879" w:type="dxa"/>
            <w:tcBorders>
              <w:bottom w:val="single" w:sz="8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469E600E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1.396</w:t>
            </w:r>
          </w:p>
        </w:tc>
        <w:tc>
          <w:tcPr>
            <w:tcW w:w="1956" w:type="dxa"/>
            <w:tcBorders>
              <w:bottom w:val="single" w:sz="8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44D7DF5D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0.435–4.477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28A0CA4E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0.575</w:t>
            </w:r>
          </w:p>
        </w:tc>
      </w:tr>
    </w:tbl>
    <w:p w14:paraId="640083E3" w14:textId="77777777" w:rsidR="00093233" w:rsidRPr="0037077A" w:rsidRDefault="00093233" w:rsidP="00093233">
      <w:pPr>
        <w:spacing w:before="80" w:after="160"/>
        <w:rPr>
          <w:rFonts w:ascii="Calibri" w:hAnsi="Calibri" w:cs="Calibri"/>
          <w:i/>
          <w:iCs/>
          <w:sz w:val="22"/>
        </w:rPr>
      </w:pPr>
      <w:r>
        <w:rPr>
          <w:rFonts w:ascii="Calibri" w:hAnsi="Calibri"/>
          <w:sz w:val="18"/>
        </w:rPr>
        <w:t>β, regression coefficient on the log-odds scale; SE, standard error of β; OR, odds ratio; CI, confidence interval; HbA1c, glycated haemoglobin. Reference categories: female sex for “Male sex”; no insulin initiation for “Insulin initiation during pathway”; non-type 2 diabetes for “Type 2 diabetes”. The model included 149 patients with complete paired HbA1c and covariate data.</w:t>
      </w:r>
    </w:p>
    <w:p w14:paraId="550F550D" w14:textId="02D08472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290AEE2C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316FD9C6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12A65D28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1499AA3A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129469CB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63366468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59279DA7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7B92D5F6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3A5C0703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64A57809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469311B3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091C2034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4585DE60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1B29A854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23F7AC4A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67523BE7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6A9448D1" w14:textId="77777777" w:rsidR="0037077A" w:rsidRPr="00C5120F" w:rsidRDefault="0037077A" w:rsidP="0037077A">
      <w:pPr>
        <w:rPr>
          <w:rFonts w:ascii="Calibri" w:hAnsi="Calibri" w:cs="Calibri"/>
          <w:sz w:val="22"/>
        </w:rPr>
      </w:pPr>
      <w:r w:rsidRPr="00C5120F">
        <w:rPr>
          <w:rFonts w:ascii="Calibri" w:hAnsi="Calibri" w:cs="Calibri"/>
          <w:sz w:val="22"/>
        </w:rPr>
        <w:br w:type="page"/>
      </w:r>
    </w:p>
    <w:p w14:paraId="0D0D12B7" w14:textId="77777777" w:rsidR="00093233" w:rsidRPr="0037077A" w:rsidRDefault="007001EB" w:rsidP="00093233">
      <w:pPr>
        <w:rPr>
          <w:rFonts w:ascii="Calibri" w:hAnsi="Calibri" w:cs="Calibri"/>
          <w:sz w:val="22"/>
        </w:rPr>
      </w:pPr>
      <w:r w:rsidRPr="00C5120F">
        <w:rPr>
          <w:rFonts w:ascii="Calibri" w:hAnsi="Calibri" w:cs="Calibri"/>
          <w:b/>
          <w:sz w:val="22"/>
        </w:rPr>
        <w:lastRenderedPageBreak/>
        <w:t xml:space="preserve">Supplementary Table </w:t>
      </w:r>
      <w:r w:rsidR="0037077A" w:rsidRPr="00C5120F">
        <w:rPr>
          <w:rFonts w:ascii="Calibri" w:hAnsi="Calibri" w:cs="Calibri"/>
          <w:b/>
          <w:sz w:val="22"/>
        </w:rPr>
        <w:t xml:space="preserve">2. </w:t>
      </w:r>
      <w:r w:rsidR="00093233" w:rsidRPr="0037077A">
        <w:rPr>
          <w:rFonts w:ascii="Calibri" w:hAnsi="Calibri" w:cs="Calibri"/>
          <w:b/>
          <w:sz w:val="22"/>
        </w:rPr>
        <w:t>Multivariable linear regression for follow-up HbA1c: sensitivity analysis including diabetes type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992"/>
        <w:gridCol w:w="992"/>
        <w:gridCol w:w="2239"/>
        <w:gridCol w:w="992"/>
      </w:tblGrid>
      <w:tr w:rsidR="00093233" w14:paraId="75A86F66" w14:textId="77777777" w:rsidTr="0020638D">
        <w:trPr>
          <w:tblHeader/>
          <w:jc w:val="center"/>
        </w:trPr>
        <w:tc>
          <w:tcPr>
            <w:tcW w:w="2976" w:type="dxa"/>
            <w:tcBorders>
              <w:top w:val="single" w:sz="8" w:space="0" w:color="000000"/>
              <w:bottom w:val="single" w:sz="10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4993BD83" w14:textId="77777777" w:rsidR="00093233" w:rsidRDefault="00093233" w:rsidP="0020638D"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9"/>
              </w:rPr>
              <w:t>Variable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10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43DA2BEC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9"/>
              </w:rPr>
              <w:t>β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10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23D3D4B4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9"/>
              </w:rPr>
              <w:t>SE</w:t>
            </w:r>
          </w:p>
        </w:tc>
        <w:tc>
          <w:tcPr>
            <w:tcW w:w="2239" w:type="dxa"/>
            <w:tcBorders>
              <w:top w:val="single" w:sz="8" w:space="0" w:color="000000"/>
              <w:bottom w:val="single" w:sz="10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1093BA50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9"/>
              </w:rPr>
              <w:t>95% CI for β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10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0E5F3607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b/>
                <w:sz w:val="19"/>
              </w:rPr>
              <w:t>p-value</w:t>
            </w:r>
          </w:p>
        </w:tc>
      </w:tr>
      <w:tr w:rsidR="00093233" w14:paraId="6251194E" w14:textId="77777777" w:rsidTr="0020638D">
        <w:trPr>
          <w:jc w:val="center"/>
        </w:trPr>
        <w:tc>
          <w:tcPr>
            <w:tcW w:w="2976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59C6997C" w14:textId="77777777" w:rsidR="00093233" w:rsidRDefault="00093233" w:rsidP="0020638D">
            <w:pPr>
              <w:spacing w:after="0" w:line="240" w:lineRule="auto"/>
              <w:jc w:val="left"/>
            </w:pPr>
            <w:r>
              <w:rPr>
                <w:rFonts w:ascii="Arial" w:hAnsi="Arial"/>
                <w:sz w:val="19"/>
              </w:rPr>
              <w:t>Baseline HbA1c, per mmol/mol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32FB0696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0.253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6338687B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0.079</w:t>
            </w:r>
          </w:p>
        </w:tc>
        <w:tc>
          <w:tcPr>
            <w:tcW w:w="223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060D152C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0.097 to 0.409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3EF1EE55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0.002</w:t>
            </w:r>
          </w:p>
        </w:tc>
      </w:tr>
      <w:tr w:rsidR="00093233" w14:paraId="2148E02A" w14:textId="77777777" w:rsidTr="0020638D">
        <w:trPr>
          <w:jc w:val="center"/>
        </w:trPr>
        <w:tc>
          <w:tcPr>
            <w:tcW w:w="2976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5C44AACA" w14:textId="77777777" w:rsidR="00093233" w:rsidRDefault="00093233" w:rsidP="0020638D">
            <w:pPr>
              <w:spacing w:after="0" w:line="240" w:lineRule="auto"/>
              <w:jc w:val="left"/>
            </w:pPr>
            <w:r>
              <w:rPr>
                <w:rFonts w:ascii="Arial" w:hAnsi="Arial"/>
                <w:sz w:val="19"/>
              </w:rPr>
              <w:t>Diabetes-team appointments, per appointment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5158DEF9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−0.572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596EDD42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0.204</w:t>
            </w:r>
          </w:p>
        </w:tc>
        <w:tc>
          <w:tcPr>
            <w:tcW w:w="223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0D2B0EE9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−0.975 to −0.170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47E7C3A1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0.006</w:t>
            </w:r>
          </w:p>
        </w:tc>
      </w:tr>
      <w:tr w:rsidR="00093233" w14:paraId="78B45807" w14:textId="77777777" w:rsidTr="0020638D">
        <w:trPr>
          <w:jc w:val="center"/>
        </w:trPr>
        <w:tc>
          <w:tcPr>
            <w:tcW w:w="2976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03CC7B96" w14:textId="77777777" w:rsidR="00093233" w:rsidRDefault="00093233" w:rsidP="0020638D">
            <w:pPr>
              <w:spacing w:after="0" w:line="240" w:lineRule="auto"/>
              <w:jc w:val="left"/>
            </w:pPr>
            <w:r>
              <w:rPr>
                <w:rFonts w:ascii="Arial" w:hAnsi="Arial"/>
                <w:sz w:val="19"/>
              </w:rPr>
              <w:t>Age, per year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56ADD22D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0.116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6564FA63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0.095</w:t>
            </w:r>
          </w:p>
        </w:tc>
        <w:tc>
          <w:tcPr>
            <w:tcW w:w="223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6DE69356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−0.072 to 0.305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41AF2F3F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0.224</w:t>
            </w:r>
          </w:p>
        </w:tc>
      </w:tr>
      <w:tr w:rsidR="00093233" w14:paraId="6E51F268" w14:textId="77777777" w:rsidTr="0020638D">
        <w:trPr>
          <w:jc w:val="center"/>
        </w:trPr>
        <w:tc>
          <w:tcPr>
            <w:tcW w:w="2976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39A20412" w14:textId="77777777" w:rsidR="00093233" w:rsidRDefault="00093233" w:rsidP="0020638D">
            <w:pPr>
              <w:spacing w:after="0" w:line="240" w:lineRule="auto"/>
              <w:jc w:val="left"/>
            </w:pPr>
            <w:r>
              <w:rPr>
                <w:rFonts w:ascii="Arial" w:hAnsi="Arial"/>
                <w:sz w:val="19"/>
              </w:rPr>
              <w:t>Male sex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17830660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0.641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18985091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2.234</w:t>
            </w:r>
          </w:p>
        </w:tc>
        <w:tc>
          <w:tcPr>
            <w:tcW w:w="223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26578D4A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−3.775 to 5.057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07D415B8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0.774</w:t>
            </w:r>
          </w:p>
        </w:tc>
      </w:tr>
      <w:tr w:rsidR="00093233" w14:paraId="38A004DA" w14:textId="77777777" w:rsidTr="0020638D">
        <w:trPr>
          <w:jc w:val="center"/>
        </w:trPr>
        <w:tc>
          <w:tcPr>
            <w:tcW w:w="2976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58CD7352" w14:textId="77777777" w:rsidR="00093233" w:rsidRDefault="00093233" w:rsidP="0020638D">
            <w:pPr>
              <w:spacing w:after="0" w:line="240" w:lineRule="auto"/>
              <w:jc w:val="left"/>
            </w:pPr>
            <w:r>
              <w:rPr>
                <w:rFonts w:ascii="Arial" w:hAnsi="Arial"/>
                <w:sz w:val="19"/>
              </w:rPr>
              <w:t>Insulin initiation during pathway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5CCDEE39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−3.745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6338EDF3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2.589</w:t>
            </w:r>
          </w:p>
        </w:tc>
        <w:tc>
          <w:tcPr>
            <w:tcW w:w="2239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1A0D7D0A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−8.863 to 1.373</w:t>
            </w:r>
          </w:p>
        </w:tc>
        <w:tc>
          <w:tcPr>
            <w:tcW w:w="992" w:type="dxa"/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1282A27B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0.150</w:t>
            </w:r>
          </w:p>
        </w:tc>
      </w:tr>
      <w:tr w:rsidR="00093233" w14:paraId="26545A5F" w14:textId="77777777" w:rsidTr="0020638D">
        <w:trPr>
          <w:jc w:val="center"/>
        </w:trPr>
        <w:tc>
          <w:tcPr>
            <w:tcW w:w="2976" w:type="dxa"/>
            <w:tcBorders>
              <w:bottom w:val="single" w:sz="8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6DE6F390" w14:textId="77777777" w:rsidR="00093233" w:rsidRDefault="00093233" w:rsidP="0020638D">
            <w:pPr>
              <w:spacing w:after="0" w:line="240" w:lineRule="auto"/>
              <w:jc w:val="left"/>
            </w:pPr>
            <w:r>
              <w:rPr>
                <w:rFonts w:ascii="Arial" w:hAnsi="Arial"/>
                <w:sz w:val="19"/>
              </w:rPr>
              <w:t>Type 2 diabetes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501AC962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2.152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2EAC8800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3.739</w:t>
            </w:r>
          </w:p>
        </w:tc>
        <w:tc>
          <w:tcPr>
            <w:tcW w:w="2239" w:type="dxa"/>
            <w:tcBorders>
              <w:bottom w:val="single" w:sz="8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2BEA21D9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−5.239 to 9.543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</w:tcPr>
          <w:p w14:paraId="50213E00" w14:textId="77777777" w:rsidR="00093233" w:rsidRDefault="00093233" w:rsidP="0020638D"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9"/>
              </w:rPr>
              <w:t>0.566</w:t>
            </w:r>
          </w:p>
        </w:tc>
      </w:tr>
    </w:tbl>
    <w:p w14:paraId="0D1BB639" w14:textId="04AE7E91" w:rsidR="00093233" w:rsidRPr="0037077A" w:rsidRDefault="00093233" w:rsidP="00093233">
      <w:pPr>
        <w:spacing w:before="80" w:after="160"/>
        <w:rPr>
          <w:rFonts w:ascii="Calibri" w:hAnsi="Calibri" w:cs="Calibri"/>
          <w:i/>
          <w:iCs/>
          <w:sz w:val="22"/>
        </w:rPr>
      </w:pPr>
      <w:r>
        <w:rPr>
          <w:rFonts w:ascii="Calibri" w:hAnsi="Calibri"/>
          <w:sz w:val="18"/>
        </w:rPr>
        <w:t>β, unstandardised linear regression coefficient; SE, standard error of β; CI, confidence interval; HbA1c, glycated haemoglobin. Reference categories: female sex for “Male sex”; no insulin initiation for “Insulin initiation during pathway”; non-type 2 diabetes for “Type 2 diabetes”. The model included 149 patients with complete paired HbA1c and covariate data. Model R² = 0.149; adjusted R² = 0.113.</w:t>
      </w:r>
    </w:p>
    <w:p w14:paraId="575ABC97" w14:textId="7B2A55A9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16779B11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49BA8A55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4F193326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72BAC3B5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5F3B5AB8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3995FDF6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10B312C3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73699A23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1C594A78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68873EB7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23AEEDF3" w14:textId="77777777" w:rsidR="00093233" w:rsidRDefault="00093233" w:rsidP="0037077A">
      <w:pPr>
        <w:rPr>
          <w:rFonts w:ascii="Calibri" w:hAnsi="Calibri" w:cs="Calibri"/>
          <w:b/>
          <w:sz w:val="22"/>
        </w:rPr>
      </w:pPr>
    </w:p>
    <w:p w14:paraId="332762BB" w14:textId="77777777" w:rsidR="00C368C6" w:rsidRPr="00C5120F" w:rsidRDefault="00C368C6"/>
    <w:sectPr w:rsidR="00C368C6" w:rsidRPr="00C512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B2436" w14:textId="77777777" w:rsidR="00686CB2" w:rsidRDefault="00686CB2" w:rsidP="00325573">
      <w:pPr>
        <w:spacing w:after="0" w:line="240" w:lineRule="auto"/>
      </w:pPr>
      <w:r>
        <w:separator/>
      </w:r>
    </w:p>
  </w:endnote>
  <w:endnote w:type="continuationSeparator" w:id="0">
    <w:p w14:paraId="1C2E53A4" w14:textId="77777777" w:rsidR="00686CB2" w:rsidRDefault="00686CB2" w:rsidP="00325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031C6" w14:textId="77777777" w:rsidR="00686CB2" w:rsidRDefault="00686CB2" w:rsidP="00325573">
      <w:pPr>
        <w:spacing w:after="0" w:line="240" w:lineRule="auto"/>
      </w:pPr>
      <w:r>
        <w:separator/>
      </w:r>
    </w:p>
  </w:footnote>
  <w:footnote w:type="continuationSeparator" w:id="0">
    <w:p w14:paraId="086A084C" w14:textId="77777777" w:rsidR="00686CB2" w:rsidRDefault="00686CB2" w:rsidP="003255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29D"/>
    <w:rsid w:val="0007375F"/>
    <w:rsid w:val="00093233"/>
    <w:rsid w:val="001D58D3"/>
    <w:rsid w:val="001F4D02"/>
    <w:rsid w:val="00243F57"/>
    <w:rsid w:val="0027729D"/>
    <w:rsid w:val="00306914"/>
    <w:rsid w:val="00325573"/>
    <w:rsid w:val="0037077A"/>
    <w:rsid w:val="00686CB2"/>
    <w:rsid w:val="006B3BD8"/>
    <w:rsid w:val="007001EB"/>
    <w:rsid w:val="007442F8"/>
    <w:rsid w:val="008244D8"/>
    <w:rsid w:val="0084188F"/>
    <w:rsid w:val="008800E1"/>
    <w:rsid w:val="00B34C7E"/>
    <w:rsid w:val="00B61C03"/>
    <w:rsid w:val="00B71E20"/>
    <w:rsid w:val="00C368C6"/>
    <w:rsid w:val="00C5120F"/>
    <w:rsid w:val="00C66D67"/>
    <w:rsid w:val="00C73BB6"/>
    <w:rsid w:val="00D22697"/>
    <w:rsid w:val="00E817CD"/>
    <w:rsid w:val="00E827D3"/>
    <w:rsid w:val="00EE062F"/>
    <w:rsid w:val="00FE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1B93B1"/>
  <w15:chartTrackingRefBased/>
  <w15:docId w15:val="{FE469545-E432-486F-B2A3-042834B64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29D"/>
    <w:pPr>
      <w:spacing w:after="80" w:line="288" w:lineRule="auto"/>
      <w:jc w:val="both"/>
    </w:pPr>
    <w:rPr>
      <w:rFonts w:ascii="Times New Roman" w:hAnsi="Times New Roman"/>
      <w:kern w:val="0"/>
      <w:sz w:val="21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729D"/>
    <w:pPr>
      <w:keepNext/>
      <w:keepLines/>
      <w:spacing w:before="36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29D"/>
    <w:pPr>
      <w:keepNext/>
      <w:keepLines/>
      <w:spacing w:before="16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29D"/>
    <w:pPr>
      <w:keepNext/>
      <w:keepLines/>
      <w:spacing w:before="16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729D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n-GB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729D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n-GB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729D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GB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729D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GB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29D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GB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729D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GB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7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277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277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2772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27729D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2772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27729D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72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2772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729D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77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729D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77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729D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en-GB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772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729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/>
      <w:kern w:val="2"/>
      <w:sz w:val="22"/>
      <w:lang w:val="en-GB"/>
      <w14:ligatures w14:val="standardContextual"/>
    </w:rPr>
  </w:style>
  <w:style w:type="character" w:styleId="aa">
    <w:name w:val="Intense Emphasis"/>
    <w:basedOn w:val="a0"/>
    <w:uiPriority w:val="21"/>
    <w:qFormat/>
    <w:rsid w:val="002772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7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en-GB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772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729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27729D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255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325573"/>
    <w:rPr>
      <w:rFonts w:ascii="Times New Roman" w:hAnsi="Times New Roman"/>
      <w:kern w:val="0"/>
      <w:sz w:val="18"/>
      <w:szCs w:val="18"/>
      <w:lang w:val="en-US"/>
      <w14:ligatures w14:val="none"/>
    </w:rPr>
  </w:style>
  <w:style w:type="paragraph" w:styleId="af1">
    <w:name w:val="footer"/>
    <w:basedOn w:val="a"/>
    <w:link w:val="af2"/>
    <w:uiPriority w:val="99"/>
    <w:unhideWhenUsed/>
    <w:rsid w:val="0032557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325573"/>
    <w:rPr>
      <w:rFonts w:ascii="Times New Roman" w:hAnsi="Times New Roman"/>
      <w:kern w:val="0"/>
      <w:sz w:val="18"/>
      <w:szCs w:val="18"/>
      <w:lang w:val="en-US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C5120F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C5120F"/>
    <w:pPr>
      <w:spacing w:line="240" w:lineRule="auto"/>
    </w:pPr>
    <w:rPr>
      <w:sz w:val="20"/>
      <w:szCs w:val="20"/>
    </w:rPr>
  </w:style>
  <w:style w:type="character" w:customStyle="1" w:styleId="af5">
    <w:name w:val="批注文字 字符"/>
    <w:basedOn w:val="a0"/>
    <w:link w:val="af4"/>
    <w:uiPriority w:val="99"/>
    <w:rsid w:val="00C5120F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C5120F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C5120F"/>
    <w:rPr>
      <w:rFonts w:ascii="Times New Roman" w:hAnsi="Times New Roman"/>
      <w:b/>
      <w:bCs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680</Words>
  <Characters>3754</Characters>
  <Application>Microsoft Office Word</Application>
  <DocSecurity>0</DocSecurity>
  <Lines>288</Lines>
  <Paragraphs>147</Paragraphs>
  <ScaleCrop>false</ScaleCrop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feaz babwah</dc:creator>
  <cp:keywords/>
  <dc:description/>
  <cp:lastModifiedBy>Editor</cp:lastModifiedBy>
  <cp:revision>2</cp:revision>
  <dcterms:created xsi:type="dcterms:W3CDTF">2026-09-16T05:51:00Z</dcterms:created>
  <dcterms:modified xsi:type="dcterms:W3CDTF">2026-09-16T05:51:00Z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65f44394-0aa0-47be-a83c-a0564e8f0dea</vt:lpwstr>
  </property>
</Properties>
</file>